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504" w:rsidRPr="00DE2E6E" w:rsidRDefault="00674504">
      <w:pPr>
        <w:ind w:left="5760" w:firstLine="720"/>
        <w:jc w:val="right"/>
        <w:rPr>
          <w:sz w:val="24"/>
          <w:szCs w:val="24"/>
        </w:rPr>
      </w:pPr>
      <w:r w:rsidRPr="00DE2E6E">
        <w:rPr>
          <w:sz w:val="24"/>
          <w:szCs w:val="24"/>
        </w:rPr>
        <w:t xml:space="preserve">Додаток 1                                                                                   </w:t>
      </w:r>
    </w:p>
    <w:p w:rsidR="00674504" w:rsidRPr="00DE2E6E" w:rsidRDefault="00674504">
      <w:pPr>
        <w:ind w:left="4956"/>
        <w:jc w:val="right"/>
        <w:rPr>
          <w:sz w:val="24"/>
          <w:szCs w:val="24"/>
        </w:rPr>
      </w:pPr>
      <w:r w:rsidRPr="00DE2E6E">
        <w:rPr>
          <w:sz w:val="24"/>
          <w:szCs w:val="24"/>
        </w:rPr>
        <w:t xml:space="preserve">    до реєстраційного посвідчення А</w:t>
      </w:r>
      <w:r w:rsidRPr="00DE2E6E">
        <w:rPr>
          <w:sz w:val="24"/>
          <w:szCs w:val="24"/>
          <w:lang w:val="en-US"/>
        </w:rPr>
        <w:t>A</w:t>
      </w:r>
      <w:r w:rsidRPr="00DE2E6E">
        <w:rPr>
          <w:sz w:val="24"/>
          <w:szCs w:val="24"/>
        </w:rPr>
        <w:t>-01</w:t>
      </w:r>
      <w:r w:rsidRPr="00DE2E6E">
        <w:rPr>
          <w:sz w:val="24"/>
          <w:szCs w:val="24"/>
          <w:lang w:val="uk-UA"/>
        </w:rPr>
        <w:t>5</w:t>
      </w:r>
      <w:r w:rsidRPr="00DE2E6E">
        <w:rPr>
          <w:sz w:val="24"/>
          <w:szCs w:val="24"/>
        </w:rPr>
        <w:t>60-01-10</w:t>
      </w:r>
    </w:p>
    <w:p w:rsidR="00674504" w:rsidRPr="00DE2E6E" w:rsidRDefault="00674504">
      <w:pPr>
        <w:spacing w:after="113"/>
        <w:jc w:val="right"/>
        <w:rPr>
          <w:b/>
          <w:bCs/>
          <w:sz w:val="24"/>
          <w:szCs w:val="24"/>
        </w:rPr>
      </w:pPr>
    </w:p>
    <w:p w:rsidR="00674504" w:rsidRPr="00DE2E6E" w:rsidRDefault="00674504">
      <w:pPr>
        <w:spacing w:after="113"/>
        <w:jc w:val="right"/>
        <w:rPr>
          <w:b/>
          <w:bCs/>
          <w:sz w:val="24"/>
          <w:szCs w:val="24"/>
        </w:rPr>
      </w:pPr>
    </w:p>
    <w:p w:rsidR="00674504" w:rsidRPr="00DE2E6E" w:rsidRDefault="00674504">
      <w:pPr>
        <w:spacing w:after="113"/>
        <w:jc w:val="center"/>
        <w:rPr>
          <w:b/>
          <w:bCs/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</w:rPr>
        <w:t>Коротка характеристика препарату</w:t>
      </w:r>
      <w:r w:rsidRPr="00DE2E6E">
        <w:rPr>
          <w:b/>
          <w:bCs/>
          <w:sz w:val="24"/>
          <w:szCs w:val="24"/>
          <w:lang w:val="uk-UA"/>
        </w:rPr>
        <w:t xml:space="preserve"> </w:t>
      </w:r>
    </w:p>
    <w:p w:rsidR="00674504" w:rsidRPr="00DE2E6E" w:rsidRDefault="00674504">
      <w:pPr>
        <w:shd w:val="clear" w:color="auto" w:fill="FFFFFF"/>
        <w:tabs>
          <w:tab w:val="left" w:pos="522"/>
        </w:tabs>
        <w:rPr>
          <w:b/>
          <w:bCs/>
          <w:sz w:val="24"/>
          <w:szCs w:val="24"/>
          <w:lang w:val="sl-SI"/>
        </w:rPr>
      </w:pP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1. Назва</w:t>
      </w:r>
    </w:p>
    <w:p w:rsidR="00674504" w:rsidRPr="00DE2E6E" w:rsidRDefault="00674504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Енроксил</w:t>
      </w:r>
      <w:r w:rsidRPr="00DE2E6E">
        <w:rPr>
          <w:sz w:val="24"/>
          <w:szCs w:val="24"/>
          <w:vertAlign w:val="superscript"/>
          <w:lang w:val="uk-UA"/>
        </w:rPr>
        <w:t>®</w:t>
      </w:r>
      <w:r w:rsidRPr="00DE2E6E">
        <w:rPr>
          <w:sz w:val="24"/>
          <w:szCs w:val="24"/>
          <w:lang w:val="uk-UA"/>
        </w:rPr>
        <w:t xml:space="preserve"> </w:t>
      </w:r>
      <w:r w:rsidRPr="00DE2E6E">
        <w:rPr>
          <w:sz w:val="24"/>
          <w:szCs w:val="24"/>
        </w:rPr>
        <w:t>150</w:t>
      </w:r>
      <w:r w:rsidRPr="00DE2E6E">
        <w:rPr>
          <w:sz w:val="24"/>
          <w:szCs w:val="24"/>
          <w:lang w:val="uk-UA"/>
        </w:rPr>
        <w:t xml:space="preserve"> мг(</w:t>
      </w:r>
      <w:r w:rsidRPr="00DE2E6E">
        <w:rPr>
          <w:sz w:val="24"/>
          <w:szCs w:val="24"/>
          <w:lang w:val="en-US"/>
        </w:rPr>
        <w:t>mg</w:t>
      </w:r>
      <w:r w:rsidRPr="00DE2E6E">
        <w:rPr>
          <w:sz w:val="24"/>
          <w:szCs w:val="24"/>
        </w:rPr>
        <w:t>)</w:t>
      </w:r>
      <w:r w:rsidRPr="00DE2E6E">
        <w:rPr>
          <w:sz w:val="24"/>
          <w:szCs w:val="24"/>
          <w:lang w:val="uk-UA"/>
        </w:rPr>
        <w:t xml:space="preserve"> таблетки</w:t>
      </w:r>
      <w:r w:rsidRPr="00DE2E6E">
        <w:rPr>
          <w:sz w:val="24"/>
          <w:szCs w:val="24"/>
        </w:rPr>
        <w:t xml:space="preserve"> </w:t>
      </w:r>
      <w:r w:rsidRPr="00DE2E6E">
        <w:rPr>
          <w:sz w:val="24"/>
          <w:szCs w:val="24"/>
          <w:lang w:val="uk-UA"/>
        </w:rPr>
        <w:t>зі смаком м</w:t>
      </w:r>
      <w:r w:rsidRPr="00DE2E6E">
        <w:rPr>
          <w:sz w:val="24"/>
          <w:szCs w:val="24"/>
        </w:rPr>
        <w:t>’</w:t>
      </w:r>
      <w:r w:rsidRPr="00DE2E6E">
        <w:rPr>
          <w:sz w:val="24"/>
          <w:szCs w:val="24"/>
          <w:lang w:val="uk-UA"/>
        </w:rPr>
        <w:t xml:space="preserve">яса 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2. Склад</w:t>
      </w:r>
    </w:p>
    <w:p w:rsidR="00674504" w:rsidRPr="00DE2E6E" w:rsidRDefault="00674504">
      <w:pPr>
        <w:ind w:firstLine="567"/>
        <w:jc w:val="both"/>
        <w:rPr>
          <w:sz w:val="24"/>
          <w:szCs w:val="24"/>
        </w:rPr>
      </w:pPr>
      <w:r w:rsidRPr="00DE2E6E">
        <w:rPr>
          <w:sz w:val="24"/>
          <w:szCs w:val="24"/>
          <w:lang w:val="uk-UA"/>
        </w:rPr>
        <w:t>1 таблетка (</w:t>
      </w:r>
      <w:r w:rsidRPr="00DE2E6E">
        <w:rPr>
          <w:sz w:val="24"/>
          <w:szCs w:val="24"/>
        </w:rPr>
        <w:t>550 мг</w:t>
      </w:r>
      <w:r w:rsidRPr="00DE2E6E">
        <w:rPr>
          <w:sz w:val="24"/>
          <w:szCs w:val="24"/>
          <w:lang w:val="uk-UA"/>
        </w:rPr>
        <w:t xml:space="preserve">) препарату містить діючу речовину:  </w:t>
      </w:r>
    </w:p>
    <w:p w:rsidR="00674504" w:rsidRPr="00DE2E6E" w:rsidRDefault="00674504">
      <w:pPr>
        <w:ind w:firstLine="567"/>
        <w:jc w:val="both"/>
        <w:rPr>
          <w:sz w:val="24"/>
          <w:szCs w:val="24"/>
        </w:rPr>
      </w:pPr>
      <w:r w:rsidRPr="00DE2E6E">
        <w:rPr>
          <w:sz w:val="24"/>
          <w:szCs w:val="24"/>
          <w:lang w:val="uk-UA"/>
        </w:rPr>
        <w:t xml:space="preserve">енрофлоксацин – </w:t>
      </w:r>
      <w:r w:rsidRPr="00DE2E6E">
        <w:rPr>
          <w:sz w:val="24"/>
          <w:szCs w:val="24"/>
        </w:rPr>
        <w:t>150</w:t>
      </w:r>
      <w:r w:rsidRPr="00DE2E6E">
        <w:rPr>
          <w:sz w:val="24"/>
          <w:szCs w:val="24"/>
          <w:lang w:val="uk-UA"/>
        </w:rPr>
        <w:t xml:space="preserve"> мг.</w:t>
      </w:r>
      <w:r w:rsidRPr="00DE2E6E">
        <w:rPr>
          <w:sz w:val="24"/>
          <w:szCs w:val="24"/>
        </w:rPr>
        <w:t xml:space="preserve"> </w:t>
      </w:r>
    </w:p>
    <w:p w:rsidR="00674504" w:rsidRPr="00DE2E6E" w:rsidRDefault="00674504">
      <w:pPr>
        <w:ind w:firstLine="567"/>
        <w:jc w:val="both"/>
        <w:rPr>
          <w:sz w:val="24"/>
          <w:szCs w:val="24"/>
          <w:u w:val="single"/>
          <w:lang w:val="uk-UA"/>
        </w:rPr>
      </w:pPr>
      <w:r w:rsidRPr="00DE2E6E">
        <w:rPr>
          <w:sz w:val="24"/>
          <w:szCs w:val="24"/>
          <w:lang w:val="uk-UA"/>
        </w:rPr>
        <w:t>Допоміжні речовини: маніт, крохмаль кукурудзяний, натрію крохмальгліколят, ароматизатор м</w:t>
      </w:r>
      <w:r w:rsidRPr="00DE2E6E">
        <w:rPr>
          <w:sz w:val="24"/>
          <w:szCs w:val="24"/>
        </w:rPr>
        <w:t>’</w:t>
      </w:r>
      <w:r w:rsidRPr="00DE2E6E">
        <w:rPr>
          <w:sz w:val="24"/>
          <w:szCs w:val="24"/>
          <w:lang w:val="uk-UA"/>
        </w:rPr>
        <w:t>ясний 10022, акрилатний сополімер, натрію лаурилсульфат, дибутилсебацинат, натрію кроскармелоза, кремнію діоксид колоїдний безводний, тальк, магнію стеарат.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3. Фармацевтична форма</w:t>
      </w:r>
    </w:p>
    <w:p w:rsidR="00674504" w:rsidRPr="00DE2E6E" w:rsidRDefault="00674504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Таблетки.</w:t>
      </w:r>
    </w:p>
    <w:p w:rsidR="00674504" w:rsidRPr="00DE2E6E" w:rsidRDefault="00674504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  <w:lang w:val="uk-UA"/>
        </w:rPr>
        <w:t>4. Фармакологічні властивості</w:t>
      </w:r>
    </w:p>
    <w:p w:rsidR="00674504" w:rsidRPr="00DE2E6E" w:rsidRDefault="00674504" w:rsidP="00EE712C">
      <w:pPr>
        <w:ind w:firstLine="567"/>
        <w:jc w:val="both"/>
        <w:rPr>
          <w:b/>
          <w:i/>
          <w:sz w:val="24"/>
          <w:szCs w:val="24"/>
          <w:lang w:val="uk-UA"/>
        </w:rPr>
      </w:pPr>
      <w:r w:rsidRPr="00DE2E6E">
        <w:rPr>
          <w:b/>
          <w:i/>
          <w:sz w:val="24"/>
          <w:szCs w:val="24"/>
        </w:rPr>
        <w:t>ATC vet класифікаційний код QJ01 - антибактеріальні ветеринарні препарати для системного застосування. QJ01МА90 - Енрофлоксацин.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Енрофлоксацин належить до антиб</w:t>
      </w:r>
      <w:r w:rsidRPr="00DE2E6E">
        <w:rPr>
          <w:sz w:val="24"/>
          <w:szCs w:val="24"/>
          <w:lang w:val="et-EE"/>
        </w:rPr>
        <w:t>i</w:t>
      </w:r>
      <w:r w:rsidRPr="00DE2E6E">
        <w:rPr>
          <w:sz w:val="24"/>
          <w:szCs w:val="24"/>
          <w:lang w:val="uk-UA"/>
        </w:rPr>
        <w:t xml:space="preserve">отикiв групи фторхiнолонiв. Він ефективно діє проти більшості патогенних мікроорганізмів: </w:t>
      </w:r>
      <w:r w:rsidRPr="00DE2E6E">
        <w:rPr>
          <w:i/>
          <w:iCs/>
          <w:sz w:val="24"/>
          <w:szCs w:val="24"/>
          <w:lang w:val="en-US"/>
        </w:rPr>
        <w:t>Mycoplasma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E</w:t>
      </w:r>
      <w:r w:rsidRPr="00DE2E6E">
        <w:rPr>
          <w:i/>
          <w:iCs/>
          <w:sz w:val="24"/>
          <w:szCs w:val="24"/>
          <w:lang w:val="uk-UA"/>
        </w:rPr>
        <w:t xml:space="preserve">. </w:t>
      </w:r>
      <w:r w:rsidRPr="00DE2E6E">
        <w:rPr>
          <w:i/>
          <w:iCs/>
          <w:sz w:val="24"/>
          <w:szCs w:val="24"/>
          <w:lang w:val="en-US"/>
        </w:rPr>
        <w:t>coli</w:t>
      </w:r>
      <w:r w:rsidRPr="00DE2E6E">
        <w:rPr>
          <w:i/>
          <w:iCs/>
          <w:sz w:val="24"/>
          <w:szCs w:val="24"/>
          <w:lang w:val="uk-UA"/>
        </w:rPr>
        <w:t xml:space="preserve">, </w:t>
      </w:r>
      <w:r w:rsidRPr="00DE2E6E">
        <w:rPr>
          <w:i/>
          <w:iCs/>
          <w:sz w:val="24"/>
          <w:szCs w:val="24"/>
          <w:lang w:val="en-US"/>
        </w:rPr>
        <w:t>Salmonella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Campylobacter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Haemophilus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Pasteurella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Bordetella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Erysipelothrix</w:t>
      </w:r>
      <w:r w:rsidRPr="00DE2E6E">
        <w:rPr>
          <w:i/>
          <w:iCs/>
          <w:sz w:val="24"/>
          <w:szCs w:val="24"/>
          <w:lang w:val="uk-UA"/>
        </w:rPr>
        <w:t xml:space="preserve"> </w:t>
      </w:r>
      <w:r w:rsidRPr="00DE2E6E">
        <w:rPr>
          <w:i/>
          <w:iCs/>
          <w:sz w:val="24"/>
          <w:szCs w:val="24"/>
          <w:lang w:val="en-US"/>
        </w:rPr>
        <w:t>rhusiopathiae</w:t>
      </w:r>
      <w:r w:rsidRPr="00DE2E6E">
        <w:rPr>
          <w:i/>
          <w:iCs/>
          <w:sz w:val="24"/>
          <w:szCs w:val="24"/>
          <w:lang w:val="uk-UA"/>
        </w:rPr>
        <w:t xml:space="preserve">, </w:t>
      </w:r>
      <w:r w:rsidRPr="00DE2E6E">
        <w:rPr>
          <w:i/>
          <w:iCs/>
          <w:sz w:val="24"/>
          <w:szCs w:val="24"/>
          <w:lang w:val="en-US"/>
        </w:rPr>
        <w:t>Klebsiella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Proteus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Vibrio</w:t>
      </w:r>
      <w:r w:rsidRPr="00DE2E6E">
        <w:rPr>
          <w:i/>
          <w:iCs/>
          <w:sz w:val="24"/>
          <w:szCs w:val="24"/>
          <w:lang w:val="uk-UA"/>
        </w:rPr>
        <w:t xml:space="preserve"> </w:t>
      </w:r>
      <w:r w:rsidRPr="00DE2E6E">
        <w:rPr>
          <w:i/>
          <w:iCs/>
          <w:sz w:val="24"/>
          <w:szCs w:val="24"/>
          <w:lang w:val="en-US"/>
        </w:rPr>
        <w:t>parahaemolyticus</w:t>
      </w:r>
      <w:r w:rsidRPr="00DE2E6E">
        <w:rPr>
          <w:i/>
          <w:iCs/>
          <w:sz w:val="24"/>
          <w:szCs w:val="24"/>
          <w:lang w:val="uk-UA"/>
        </w:rPr>
        <w:t xml:space="preserve">, </w:t>
      </w:r>
      <w:r w:rsidRPr="00DE2E6E">
        <w:rPr>
          <w:i/>
          <w:iCs/>
          <w:sz w:val="24"/>
          <w:szCs w:val="24"/>
          <w:lang w:val="en-US"/>
        </w:rPr>
        <w:t>Staphylococcus</w:t>
      </w:r>
      <w:r w:rsidRPr="00DE2E6E">
        <w:rPr>
          <w:i/>
          <w:iCs/>
          <w:sz w:val="24"/>
          <w:szCs w:val="24"/>
          <w:lang w:val="uk-UA"/>
        </w:rPr>
        <w:t xml:space="preserve"> </w:t>
      </w:r>
      <w:r w:rsidRPr="00DE2E6E">
        <w:rPr>
          <w:i/>
          <w:iCs/>
          <w:sz w:val="24"/>
          <w:szCs w:val="24"/>
          <w:lang w:val="en-US"/>
        </w:rPr>
        <w:t>aureus</w:t>
      </w:r>
      <w:r w:rsidRPr="00DE2E6E">
        <w:rPr>
          <w:i/>
          <w:iCs/>
          <w:sz w:val="24"/>
          <w:szCs w:val="24"/>
          <w:lang w:val="uk-UA"/>
        </w:rPr>
        <w:t xml:space="preserve">, </w:t>
      </w:r>
      <w:r w:rsidRPr="00DE2E6E">
        <w:rPr>
          <w:i/>
          <w:iCs/>
          <w:sz w:val="24"/>
          <w:szCs w:val="24"/>
          <w:lang w:val="en-US"/>
        </w:rPr>
        <w:t>Streptococcus</w:t>
      </w:r>
      <w:r w:rsidRPr="00DE2E6E">
        <w:rPr>
          <w:i/>
          <w:iCs/>
          <w:sz w:val="24"/>
          <w:szCs w:val="24"/>
          <w:lang w:val="uk-UA"/>
        </w:rPr>
        <w:t xml:space="preserve"> spp., </w:t>
      </w:r>
      <w:r w:rsidRPr="00DE2E6E">
        <w:rPr>
          <w:i/>
          <w:iCs/>
          <w:sz w:val="24"/>
          <w:szCs w:val="24"/>
          <w:lang w:val="en-US"/>
        </w:rPr>
        <w:t>C</w:t>
      </w:r>
      <w:r w:rsidRPr="00DE2E6E">
        <w:rPr>
          <w:i/>
          <w:iCs/>
          <w:sz w:val="24"/>
          <w:szCs w:val="24"/>
          <w:lang w:val="uk-UA"/>
        </w:rPr>
        <w:t>lostridium perfringens, Actinobacillus spp.</w:t>
      </w:r>
      <w:r w:rsidRPr="00DE2E6E">
        <w:rPr>
          <w:sz w:val="24"/>
          <w:szCs w:val="24"/>
          <w:lang w:val="uk-UA"/>
        </w:rPr>
        <w:t xml:space="preserve"> і </w:t>
      </w:r>
      <w:r w:rsidRPr="00DE2E6E">
        <w:rPr>
          <w:i/>
          <w:iCs/>
          <w:sz w:val="24"/>
          <w:szCs w:val="24"/>
          <w:lang w:val="en-US"/>
        </w:rPr>
        <w:t>Enterococcus</w:t>
      </w:r>
      <w:r w:rsidRPr="00DE2E6E">
        <w:rPr>
          <w:i/>
          <w:iCs/>
          <w:sz w:val="24"/>
          <w:szCs w:val="24"/>
          <w:lang w:val="uk-UA"/>
        </w:rPr>
        <w:t xml:space="preserve"> spp.</w:t>
      </w:r>
      <w:r w:rsidRPr="00DE2E6E">
        <w:rPr>
          <w:sz w:val="24"/>
          <w:szCs w:val="24"/>
          <w:lang w:val="uk-UA"/>
        </w:rPr>
        <w:t xml:space="preserve"> Енрофлоксацин проявляє протимікробну дію шляхом гальмування активності ферменту ДНК-гірази, який є каталізатором реплікації ДНК у бактеріальній клітині. Гальмування активності ДНК-гірази призводить до функціональних розладів, блокування біосинтезу у клітині та загибелі патогенного мікроорганізму. Чинить бактерицидну дію, особливо по відношенню до мікроорганізмів, резистентних до бета-лактамних антибіотиків, тетрациклінів, аміноглікозидів і макролідів.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У дослідженнях на собаках за застосування енрофлоксацину у дозі 4,91 мг/кг маси тіла максимальна його концентрація в плазмі крові становить 1179,94±260,83 нг/мл і досягалася через 1,57±0,62 год. Період напіввиведення становить 3,78 год.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 xml:space="preserve">Майже 40% енрофлоксацину, введеного собакам перорально, перетворюється в ципрофлоксацин. Максимальна  концентрація ципрофлоксацину у плазмі крові сягає 491,99±57,95 нг/мг. </w:t>
      </w:r>
      <w:r w:rsidRPr="00DE2E6E">
        <w:rPr>
          <w:sz w:val="24"/>
          <w:szCs w:val="24"/>
          <w:lang w:val="en-US"/>
        </w:rPr>
        <w:t>T</w:t>
      </w:r>
      <w:r w:rsidRPr="00DE2E6E">
        <w:rPr>
          <w:sz w:val="24"/>
          <w:szCs w:val="24"/>
          <w:vertAlign w:val="subscript"/>
          <w:lang w:val="en-US"/>
        </w:rPr>
        <w:t>max</w:t>
      </w:r>
      <w:r w:rsidRPr="00DE2E6E">
        <w:rPr>
          <w:sz w:val="24"/>
          <w:szCs w:val="24"/>
        </w:rPr>
        <w:t xml:space="preserve"> </w:t>
      </w:r>
      <w:r w:rsidRPr="00DE2E6E">
        <w:rPr>
          <w:sz w:val="24"/>
          <w:szCs w:val="24"/>
          <w:lang w:val="uk-UA"/>
        </w:rPr>
        <w:t>становить 1,79±2,6 год. Період напіввиведення становить 5,10 год.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Енрофлоксацин швидко надходить у тканини. Концентрація у тканинах і рідинах тканин у 2-3 рази перевищує концентрацію у сироватці крові. Високі рівні енрофлоксацину відмічаються в легенях, печінці, нирках, шкірі, кістках та лімфатичній системі. Енрофлоксацин також надходить  у цереброспінальну рідину, внутрішньоочну рідину та у плід вагітних тварин.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Енрофлоксацин виводиться з організму, головним чин</w:t>
      </w:r>
      <w:r w:rsidRPr="00DE2E6E">
        <w:rPr>
          <w:sz w:val="24"/>
          <w:szCs w:val="24"/>
        </w:rPr>
        <w:t>ом, разом із сечею.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5. Клінічні особливості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5.1 Вид тварин</w:t>
      </w:r>
    </w:p>
    <w:p w:rsidR="00674504" w:rsidRPr="00DE2E6E" w:rsidRDefault="00674504" w:rsidP="00EE712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Собаки.</w:t>
      </w:r>
    </w:p>
    <w:p w:rsidR="00674504" w:rsidRPr="00DE2E6E" w:rsidRDefault="00674504" w:rsidP="00EE712C">
      <w:pPr>
        <w:pStyle w:val="31"/>
        <w:ind w:firstLine="567"/>
      </w:pPr>
      <w:r w:rsidRPr="00DE2E6E">
        <w:t>5.2 Показання до застосування</w:t>
      </w:r>
    </w:p>
    <w:p w:rsidR="00674504" w:rsidRPr="00DE2E6E" w:rsidRDefault="00674504" w:rsidP="00EE712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 xml:space="preserve">Лікування собак за захворювань травного каналу, органів дихання і сечостатевої системи, шкіри та вух (зовнішній отит), вторинних інфекцій ран, що спричинені мікроорганізмами, чутливими до енрофлоксацину.  </w:t>
      </w:r>
    </w:p>
    <w:p w:rsidR="00674504" w:rsidRPr="00DE2E6E" w:rsidRDefault="00674504" w:rsidP="00EE712C">
      <w:pPr>
        <w:pStyle w:val="31"/>
        <w:tabs>
          <w:tab w:val="left" w:pos="709"/>
        </w:tabs>
        <w:ind w:firstLine="567"/>
      </w:pPr>
      <w:r w:rsidRPr="00DE2E6E">
        <w:t>5.3 Протипоказання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 xml:space="preserve">Підвищена чутливість до енрофлоксацину. 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застосовувати при виявленні стійких штамів патогенних бактерій, резистентних до хінолонів.</w:t>
      </w:r>
    </w:p>
    <w:p w:rsidR="00674504" w:rsidRPr="00DE2E6E" w:rsidRDefault="00674504" w:rsidP="00EE712C">
      <w:pPr>
        <w:pStyle w:val="ac"/>
        <w:spacing w:after="0"/>
        <w:ind w:left="0"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застосовувати собакам малих порід у перші 12 місяців життя і собакам великих порід - у перші 18 місяців життя.</w:t>
      </w:r>
    </w:p>
    <w:p w:rsidR="00674504" w:rsidRPr="00DE2E6E" w:rsidRDefault="00674504" w:rsidP="00EE712C">
      <w:pPr>
        <w:pStyle w:val="ac"/>
        <w:spacing w:after="0"/>
        <w:ind w:left="0"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застосовувати тваринам з ознаками захворювань центральної нервової системи.</w:t>
      </w:r>
    </w:p>
    <w:p w:rsidR="00674504" w:rsidRPr="00DE2E6E" w:rsidRDefault="00674504" w:rsidP="00EE712C">
      <w:pPr>
        <w:pStyle w:val="ac"/>
        <w:spacing w:after="0"/>
        <w:ind w:left="0" w:firstLine="567"/>
        <w:jc w:val="both"/>
        <w:rPr>
          <w:sz w:val="24"/>
          <w:szCs w:val="24"/>
        </w:rPr>
      </w:pPr>
      <w:r w:rsidRPr="00DE2E6E">
        <w:rPr>
          <w:sz w:val="24"/>
          <w:szCs w:val="24"/>
        </w:rPr>
        <w:t xml:space="preserve">Не застосовувати одночасно з препаратами тетрациклінового ряду, макролідами, </w:t>
      </w:r>
    </w:p>
    <w:p w:rsidR="00674504" w:rsidRPr="00DE2E6E" w:rsidRDefault="00674504" w:rsidP="00EE712C">
      <w:pPr>
        <w:ind w:firstLine="567"/>
        <w:jc w:val="right"/>
        <w:rPr>
          <w:sz w:val="24"/>
          <w:szCs w:val="24"/>
        </w:rPr>
      </w:pPr>
      <w:r w:rsidRPr="00DE2E6E">
        <w:rPr>
          <w:sz w:val="24"/>
          <w:szCs w:val="24"/>
        </w:rPr>
        <w:lastRenderedPageBreak/>
        <w:t>Продовження додатку 1</w:t>
      </w:r>
    </w:p>
    <w:p w:rsidR="00674504" w:rsidRPr="00DE2E6E" w:rsidRDefault="00674504" w:rsidP="00EE712C">
      <w:pPr>
        <w:ind w:left="4956"/>
        <w:jc w:val="right"/>
        <w:rPr>
          <w:sz w:val="24"/>
          <w:szCs w:val="24"/>
        </w:rPr>
      </w:pPr>
      <w:r w:rsidRPr="00DE2E6E">
        <w:rPr>
          <w:sz w:val="24"/>
          <w:szCs w:val="24"/>
        </w:rPr>
        <w:t xml:space="preserve">    до реєстраційного посвідчення А</w:t>
      </w:r>
      <w:r w:rsidRPr="00DE2E6E">
        <w:rPr>
          <w:sz w:val="24"/>
          <w:szCs w:val="24"/>
          <w:lang w:val="en-US"/>
        </w:rPr>
        <w:t>A</w:t>
      </w:r>
      <w:r w:rsidRPr="00DE2E6E">
        <w:rPr>
          <w:sz w:val="24"/>
          <w:szCs w:val="24"/>
        </w:rPr>
        <w:t>-01</w:t>
      </w:r>
      <w:r w:rsidRPr="00DE2E6E">
        <w:rPr>
          <w:sz w:val="24"/>
          <w:szCs w:val="24"/>
          <w:lang w:val="uk-UA"/>
        </w:rPr>
        <w:t>5</w:t>
      </w:r>
      <w:r w:rsidRPr="00DE2E6E">
        <w:rPr>
          <w:sz w:val="24"/>
          <w:szCs w:val="24"/>
        </w:rPr>
        <w:t>60-01-10</w:t>
      </w:r>
    </w:p>
    <w:p w:rsidR="00674504" w:rsidRPr="00DE2E6E" w:rsidRDefault="00674504" w:rsidP="00EE712C">
      <w:pPr>
        <w:ind w:firstLine="567"/>
        <w:jc w:val="right"/>
        <w:rPr>
          <w:sz w:val="24"/>
          <w:szCs w:val="24"/>
        </w:rPr>
      </w:pPr>
    </w:p>
    <w:p w:rsidR="00674504" w:rsidRPr="00DE2E6E" w:rsidRDefault="00674504" w:rsidP="00EE712C">
      <w:pPr>
        <w:pStyle w:val="ac"/>
        <w:spacing w:after="0"/>
        <w:jc w:val="both"/>
        <w:rPr>
          <w:sz w:val="24"/>
          <w:szCs w:val="24"/>
        </w:rPr>
      </w:pPr>
    </w:p>
    <w:p w:rsidR="00674504" w:rsidRPr="00DE2E6E" w:rsidRDefault="00674504" w:rsidP="00EE712C">
      <w:pPr>
        <w:pStyle w:val="ac"/>
        <w:spacing w:after="0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</w:rPr>
        <w:t>хлорамфеніколом, теофіліном.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застосовувати з профілактичною метою.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застосовувати тваринам під час вагітності та лактації.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  <w:lang w:val="uk-UA"/>
        </w:rPr>
        <w:t>5.4 Побічна дія</w:t>
      </w:r>
    </w:p>
    <w:p w:rsidR="00674504" w:rsidRPr="00DE2E6E" w:rsidRDefault="00674504" w:rsidP="00EE712C">
      <w:pPr>
        <w:pStyle w:val="af8"/>
        <w:ind w:firstLine="567"/>
        <w:rPr>
          <w:sz w:val="24"/>
          <w:szCs w:val="24"/>
          <w:lang w:val="uk-UA" w:eastAsia="uk-UA"/>
        </w:rPr>
      </w:pPr>
      <w:r w:rsidRPr="00DE2E6E">
        <w:rPr>
          <w:sz w:val="24"/>
          <w:szCs w:val="24"/>
          <w:lang w:val="uk-UA" w:eastAsia="uk-UA"/>
        </w:rPr>
        <w:t>Собаки: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1"/>
        <w:gridCol w:w="4926"/>
      </w:tblGrid>
      <w:tr w:rsidR="00DE2E6E" w:rsidRPr="00DE2E6E" w:rsidTr="0028137B">
        <w:tc>
          <w:tcPr>
            <w:tcW w:w="4891" w:type="dxa"/>
          </w:tcPr>
          <w:p w:rsidR="00674504" w:rsidRPr="00DE2E6E" w:rsidRDefault="00674504" w:rsidP="0028137B">
            <w:pPr>
              <w:pStyle w:val="af8"/>
              <w:rPr>
                <w:sz w:val="24"/>
                <w:szCs w:val="24"/>
                <w:lang w:val="uk-UA" w:eastAsia="uk-UA"/>
              </w:rPr>
            </w:pPr>
            <w:r w:rsidRPr="00DE2E6E">
              <w:rPr>
                <w:sz w:val="24"/>
                <w:szCs w:val="24"/>
                <w:lang w:val="uk-UA" w:eastAsia="uk-UA"/>
              </w:rPr>
              <w:t>Дуже рідко</w:t>
            </w:r>
          </w:p>
          <w:p w:rsidR="00674504" w:rsidRPr="00DE2E6E" w:rsidRDefault="00674504" w:rsidP="0028137B">
            <w:pPr>
              <w:pStyle w:val="af8"/>
              <w:rPr>
                <w:sz w:val="22"/>
                <w:szCs w:val="22"/>
                <w:lang w:val="uk-UA" w:eastAsia="uk-UA"/>
              </w:rPr>
            </w:pPr>
            <w:r w:rsidRPr="00DE2E6E">
              <w:rPr>
                <w:sz w:val="24"/>
                <w:szCs w:val="24"/>
                <w:lang w:val="uk-UA" w:eastAsia="uk-UA"/>
              </w:rPr>
              <w:t>(&lt;1 тварина / 10 000 тварин, що пройшли лікування,включаючи окремі випадки):</w:t>
            </w:r>
          </w:p>
        </w:tc>
        <w:tc>
          <w:tcPr>
            <w:tcW w:w="4926" w:type="dxa"/>
          </w:tcPr>
          <w:p w:rsidR="00674504" w:rsidRPr="00DE2E6E" w:rsidRDefault="00674504" w:rsidP="0028137B">
            <w:pPr>
              <w:pStyle w:val="af8"/>
              <w:rPr>
                <w:sz w:val="24"/>
                <w:szCs w:val="24"/>
                <w:lang w:val="uk-UA" w:eastAsia="uk-UA"/>
              </w:rPr>
            </w:pPr>
            <w:r w:rsidRPr="00DE2E6E">
              <w:rPr>
                <w:sz w:val="24"/>
                <w:szCs w:val="24"/>
                <w:lang w:val="uk-UA" w:eastAsia="uk-UA"/>
              </w:rPr>
              <w:t>Анорексія</w:t>
            </w:r>
          </w:p>
          <w:p w:rsidR="00674504" w:rsidRPr="00DE2E6E" w:rsidRDefault="00674504" w:rsidP="0028137B">
            <w:pPr>
              <w:pStyle w:val="af8"/>
              <w:rPr>
                <w:sz w:val="24"/>
                <w:szCs w:val="24"/>
                <w:lang w:val="uk-UA" w:eastAsia="uk-UA"/>
              </w:rPr>
            </w:pPr>
            <w:r w:rsidRPr="00DE2E6E">
              <w:rPr>
                <w:sz w:val="24"/>
                <w:szCs w:val="24"/>
                <w:lang w:val="uk-UA" w:eastAsia="uk-UA"/>
              </w:rPr>
              <w:t>Блювання</w:t>
            </w:r>
          </w:p>
          <w:p w:rsidR="00674504" w:rsidRPr="00DE2E6E" w:rsidRDefault="00674504" w:rsidP="0028137B">
            <w:pPr>
              <w:pStyle w:val="af8"/>
              <w:rPr>
                <w:sz w:val="24"/>
                <w:szCs w:val="24"/>
                <w:lang w:val="uk-UA" w:eastAsia="uk-UA"/>
              </w:rPr>
            </w:pPr>
          </w:p>
        </w:tc>
      </w:tr>
      <w:tr w:rsidR="00DE2E6E" w:rsidRPr="00DE2E6E" w:rsidTr="0028137B">
        <w:tc>
          <w:tcPr>
            <w:tcW w:w="4891" w:type="dxa"/>
          </w:tcPr>
          <w:p w:rsidR="00674504" w:rsidRPr="00DE2E6E" w:rsidRDefault="00674504" w:rsidP="0028137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DE2E6E">
              <w:rPr>
                <w:sz w:val="24"/>
                <w:szCs w:val="24"/>
                <w:lang w:val="uk-UA" w:eastAsia="uk-UA"/>
              </w:rPr>
              <w:t>Невизначена частота виникнення (не може бути оцінена на основі наявних даних):</w:t>
            </w:r>
          </w:p>
        </w:tc>
        <w:tc>
          <w:tcPr>
            <w:tcW w:w="4926" w:type="dxa"/>
          </w:tcPr>
          <w:p w:rsidR="00674504" w:rsidRPr="00DE2E6E" w:rsidRDefault="00674504" w:rsidP="0028137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DE2E6E">
              <w:rPr>
                <w:sz w:val="24"/>
                <w:szCs w:val="24"/>
                <w:lang w:val="uk-UA" w:eastAsia="uk-UA"/>
              </w:rPr>
              <w:t>Захворювання суглобового хряща</w:t>
            </w:r>
            <w:r w:rsidRPr="00DE2E6E">
              <w:rPr>
                <w:sz w:val="24"/>
                <w:szCs w:val="24"/>
                <w:vertAlign w:val="superscript"/>
                <w:lang w:val="uk-UA" w:eastAsia="uk-UA"/>
              </w:rPr>
              <w:t>1</w:t>
            </w:r>
          </w:p>
        </w:tc>
      </w:tr>
    </w:tbl>
    <w:p w:rsidR="00674504" w:rsidRPr="00DE2E6E" w:rsidRDefault="00674504" w:rsidP="00EE712C">
      <w:pPr>
        <w:spacing w:before="100" w:beforeAutospacing="1" w:after="100" w:afterAutospacing="1"/>
        <w:jc w:val="both"/>
        <w:rPr>
          <w:iCs/>
          <w:sz w:val="24"/>
          <w:szCs w:val="24"/>
          <w:lang w:val="uk-UA" w:eastAsia="uk-UA"/>
        </w:rPr>
      </w:pPr>
      <w:r w:rsidRPr="00DE2E6E">
        <w:rPr>
          <w:iCs/>
          <w:sz w:val="24"/>
          <w:szCs w:val="24"/>
          <w:vertAlign w:val="superscript"/>
          <w:lang w:val="uk-UA" w:eastAsia="uk-UA"/>
        </w:rPr>
        <w:t xml:space="preserve">         1</w:t>
      </w:r>
      <w:r w:rsidRPr="00DE2E6E">
        <w:rPr>
          <w:iCs/>
          <w:sz w:val="24"/>
          <w:szCs w:val="24"/>
          <w:lang w:val="uk-UA" w:eastAsia="uk-UA"/>
        </w:rPr>
        <w:t>У період швидкого росту може бути порушений розвиток суглобового хряща.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  <w:lang w:val="uk-UA"/>
        </w:rPr>
        <w:t>5.5 Особливі застереження при використанні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Фторхінолони слід використовувати лише для лікування клінічних станів, які погано реагують або очікується, що будуть реагувати на інші класи протимікробних препаратів.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</w:rPr>
        <w:t xml:space="preserve">Перед застосуванням препарату рекомендовано зробити тест на чутливість мікроорганізму-збудника захворювання до </w:t>
      </w:r>
      <w:r w:rsidRPr="00DE2E6E">
        <w:rPr>
          <w:sz w:val="24"/>
          <w:szCs w:val="24"/>
          <w:lang w:val="uk-UA"/>
        </w:rPr>
        <w:t>енрофлоксацину</w:t>
      </w:r>
      <w:r w:rsidRPr="00DE2E6E">
        <w:rPr>
          <w:sz w:val="24"/>
          <w:szCs w:val="24"/>
        </w:rPr>
        <w:t>.</w:t>
      </w:r>
      <w:r w:rsidRPr="00DE2E6E">
        <w:rPr>
          <w:sz w:val="24"/>
          <w:szCs w:val="24"/>
          <w:lang w:val="uk-UA"/>
        </w:rPr>
        <w:t xml:space="preserve"> Використання ветеринарного лікарського засобу, що відхиляється від інструкцій, наведених у КХП, може збільшити поширеність бактерій, стійких до фторхінолонів, та знизити ефективність лікування іншими хінолонами через потенційну перехресну резистентність.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Під час використання ветеринарного лікарського засобу слід враховувати офіційну та місцеву політику щодо протимікробних препаратів.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застосовувати у випадку виявлення мікроорганізмів резистентних до хінолонів, оскільки існує майже повна перехресна резистентність до інших хінолонів та повна перехресна резистентність до інших фторхінолонів.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перевищуйте рекомендовану дозу.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Застосовувати з обережністю ветеринарний лікарський засіб собакам з тяжкою нирковою або печінковою недостатністю.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  <w:lang w:val="uk-UA"/>
        </w:rPr>
        <w:t>5.6 Застосування під час вагітності, лактації, несучості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застосовувати тваринам під час вагітності та лактації.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  <w:lang w:val="uk-UA"/>
        </w:rPr>
        <w:t>5.7 Взаємодія з іншими засобами та інші форми взаємодії</w:t>
      </w:r>
      <w:bookmarkStart w:id="0" w:name="_GoBack"/>
      <w:bookmarkEnd w:id="0"/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</w:rPr>
        <w:t xml:space="preserve">Не застосовувати одночасно з препаратами тетрациклінового ряду, макролідами, хлорамфеніколом, теофіліном. </w:t>
      </w:r>
    </w:p>
    <w:p w:rsidR="00674504" w:rsidRPr="00DE2E6E" w:rsidRDefault="00674504" w:rsidP="00EE712C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 xml:space="preserve">За одночасного застосування з антацидами та препаратами, що містять у своєму складі  катіони </w:t>
      </w:r>
      <w:r w:rsidRPr="00DE2E6E">
        <w:rPr>
          <w:sz w:val="24"/>
          <w:szCs w:val="24"/>
        </w:rPr>
        <w:t>Mg</w:t>
      </w:r>
      <w:r w:rsidRPr="00DE2E6E">
        <w:rPr>
          <w:sz w:val="24"/>
          <w:szCs w:val="24"/>
          <w:vertAlign w:val="superscript"/>
          <w:lang w:val="uk-UA"/>
        </w:rPr>
        <w:t>2+</w:t>
      </w:r>
      <w:r w:rsidRPr="00DE2E6E">
        <w:rPr>
          <w:sz w:val="24"/>
          <w:szCs w:val="24"/>
          <w:lang w:val="uk-UA"/>
        </w:rPr>
        <w:t xml:space="preserve"> та </w:t>
      </w:r>
      <w:r w:rsidRPr="00DE2E6E">
        <w:rPr>
          <w:sz w:val="24"/>
          <w:szCs w:val="24"/>
        </w:rPr>
        <w:t>Al</w:t>
      </w:r>
      <w:r w:rsidRPr="00DE2E6E">
        <w:rPr>
          <w:sz w:val="24"/>
          <w:szCs w:val="24"/>
          <w:vertAlign w:val="superscript"/>
          <w:lang w:val="uk-UA"/>
        </w:rPr>
        <w:t>3+</w:t>
      </w:r>
      <w:r w:rsidRPr="00DE2E6E">
        <w:rPr>
          <w:sz w:val="24"/>
          <w:szCs w:val="24"/>
          <w:lang w:val="uk-UA"/>
        </w:rPr>
        <w:t xml:space="preserve"> порушується абсорбція енрофлоксацину.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DE2E6E">
        <w:rPr>
          <w:bCs/>
          <w:sz w:val="24"/>
          <w:szCs w:val="24"/>
          <w:lang w:val="uk-UA"/>
        </w:rPr>
        <w:t>Супутнє застосування фторхінолонів може посилити дію пероральних антикоагулянтів.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5.8 Дози і способи введення тваринам різного віку</w:t>
      </w:r>
    </w:p>
    <w:p w:rsidR="00674504" w:rsidRPr="00DE2E6E" w:rsidRDefault="00674504" w:rsidP="00EE712C">
      <w:pPr>
        <w:ind w:right="49"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 xml:space="preserve">Перорально у дозі 5 мг енрофлоксацину на 1 кг маси тіла (1 таблетка на </w:t>
      </w:r>
      <w:r w:rsidRPr="00DE2E6E">
        <w:rPr>
          <w:sz w:val="24"/>
          <w:szCs w:val="24"/>
        </w:rPr>
        <w:t>3</w:t>
      </w:r>
      <w:r w:rsidRPr="00DE2E6E">
        <w:rPr>
          <w:sz w:val="24"/>
          <w:szCs w:val="24"/>
          <w:lang w:val="uk-UA"/>
        </w:rPr>
        <w:t xml:space="preserve">0 кг маси тіла) на добу одноразово або по 2,5 мг енрофлоксацину на 1 кг маси тіла (1/2 таблетки на 30 кг маси тіла) двічі на добу, незалежно від годівлі. </w:t>
      </w:r>
    </w:p>
    <w:p w:rsidR="00674504" w:rsidRPr="00DE2E6E" w:rsidRDefault="00674504" w:rsidP="00EE712C">
      <w:pPr>
        <w:shd w:val="clear" w:color="auto" w:fill="FFFFFF"/>
        <w:ind w:right="6"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Тривалість лікування становить 5 – 10 діб.</w:t>
      </w:r>
    </w:p>
    <w:p w:rsidR="00674504" w:rsidRPr="00DE2E6E" w:rsidRDefault="00674504" w:rsidP="00EE712C">
      <w:pPr>
        <w:tabs>
          <w:tab w:val="left" w:pos="0"/>
        </w:tabs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5.9 Передозування (симптоми, невідкладні заходи, антидоти)</w:t>
      </w:r>
    </w:p>
    <w:p w:rsidR="00674504" w:rsidRPr="00DE2E6E" w:rsidRDefault="00674504" w:rsidP="00EE712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 перевищувати рекомендовану дозу. Клінічні симптоми, що спостерігалися при сильному передозуванні, були такими: блювання, діарея, порушення з боку ЦНС. Лікування симптоматичне. Антидотів немає.</w:t>
      </w:r>
    </w:p>
    <w:p w:rsidR="00674504" w:rsidRPr="00DE2E6E" w:rsidRDefault="00674504" w:rsidP="00EE712C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</w:rPr>
        <w:t>5.10 Спеціальні застереження</w:t>
      </w:r>
    </w:p>
    <w:p w:rsidR="00674504" w:rsidRPr="00DE2E6E" w:rsidRDefault="00674504" w:rsidP="00EE712C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Немає.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</w:rPr>
        <w:t>5.11 Період виведення (каренції)</w:t>
      </w:r>
    </w:p>
    <w:p w:rsidR="00674504" w:rsidRPr="00DE2E6E" w:rsidRDefault="00674504">
      <w:pPr>
        <w:shd w:val="clear" w:color="auto" w:fill="FFFFFF"/>
        <w:tabs>
          <w:tab w:val="left" w:pos="480"/>
        </w:tabs>
        <w:spacing w:before="10" w:line="277" w:lineRule="exact"/>
        <w:ind w:firstLine="567"/>
        <w:jc w:val="both"/>
        <w:rPr>
          <w:sz w:val="24"/>
          <w:szCs w:val="24"/>
          <w:lang w:val="uk-UA" w:eastAsia="uk-UA"/>
        </w:rPr>
      </w:pPr>
      <w:r w:rsidRPr="00DE2E6E">
        <w:rPr>
          <w:sz w:val="24"/>
          <w:szCs w:val="24"/>
          <w:lang w:val="uk-UA"/>
        </w:rPr>
        <w:t>Немає</w:t>
      </w:r>
      <w:r w:rsidRPr="00DE2E6E">
        <w:rPr>
          <w:sz w:val="24"/>
          <w:szCs w:val="24"/>
        </w:rPr>
        <w:t>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5.12 Спеціальні застереження для осіб і обслуговуючого персоналу</w:t>
      </w:r>
    </w:p>
    <w:p w:rsidR="00674504" w:rsidRPr="00DE2E6E" w:rsidRDefault="00674504">
      <w:pPr>
        <w:shd w:val="clear" w:color="auto" w:fill="FFFFFF"/>
        <w:tabs>
          <w:tab w:val="left" w:pos="480"/>
        </w:tabs>
        <w:spacing w:before="10" w:line="277" w:lineRule="exact"/>
        <w:ind w:firstLine="567"/>
        <w:jc w:val="both"/>
        <w:rPr>
          <w:sz w:val="24"/>
          <w:szCs w:val="24"/>
          <w:lang w:val="uk-UA" w:eastAsia="uk-UA"/>
        </w:rPr>
      </w:pPr>
      <w:r w:rsidRPr="00DE2E6E">
        <w:rPr>
          <w:sz w:val="24"/>
          <w:szCs w:val="24"/>
        </w:rPr>
        <w:t>Необхідно дотримуватись правил роб</w:t>
      </w:r>
      <w:r w:rsidRPr="00DE2E6E">
        <w:rPr>
          <w:sz w:val="24"/>
          <w:szCs w:val="24"/>
          <w:lang w:val="uk-UA"/>
        </w:rPr>
        <w:t>о</w:t>
      </w:r>
      <w:r w:rsidRPr="00DE2E6E">
        <w:rPr>
          <w:sz w:val="24"/>
          <w:szCs w:val="24"/>
        </w:rPr>
        <w:t>т</w:t>
      </w:r>
      <w:r w:rsidRPr="00DE2E6E">
        <w:rPr>
          <w:sz w:val="24"/>
          <w:szCs w:val="24"/>
          <w:lang w:val="uk-UA"/>
        </w:rPr>
        <w:t>и</w:t>
      </w:r>
      <w:r w:rsidRPr="00DE2E6E">
        <w:rPr>
          <w:sz w:val="24"/>
          <w:szCs w:val="24"/>
        </w:rPr>
        <w:t xml:space="preserve"> із ветеринарними препаратами.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lastRenderedPageBreak/>
        <w:t>6. Фармацевтичні особливості</w:t>
      </w:r>
    </w:p>
    <w:p w:rsidR="00674504" w:rsidRPr="00DE2E6E" w:rsidRDefault="00674504">
      <w:pPr>
        <w:pStyle w:val="31"/>
        <w:ind w:firstLine="567"/>
      </w:pPr>
      <w:r w:rsidRPr="00DE2E6E">
        <w:t>6.1 Форми несумісності</w:t>
      </w:r>
    </w:p>
    <w:p w:rsidR="00674504" w:rsidRPr="00DE2E6E" w:rsidRDefault="00674504">
      <w:pPr>
        <w:shd w:val="clear" w:color="auto" w:fill="FFFFFF"/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Невідомо.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6.2  Термін придатності</w:t>
      </w:r>
    </w:p>
    <w:p w:rsidR="00674504" w:rsidRPr="00DE2E6E" w:rsidRDefault="00674504">
      <w:pPr>
        <w:shd w:val="clear" w:color="auto" w:fill="FFFFFF"/>
        <w:tabs>
          <w:tab w:val="left" w:pos="522"/>
        </w:tabs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3 роки.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6.3 Особливі заходи зберігання</w:t>
      </w:r>
    </w:p>
    <w:p w:rsidR="00674504" w:rsidRPr="00DE2E6E" w:rsidRDefault="00674504">
      <w:pPr>
        <w:shd w:val="clear" w:color="auto" w:fill="FFFFFF"/>
        <w:tabs>
          <w:tab w:val="left" w:pos="522"/>
          <w:tab w:val="left" w:pos="4678"/>
        </w:tabs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Сухе темне, недоступне для дітей місце за температури від 5 до 25 °С.</w:t>
      </w:r>
    </w:p>
    <w:p w:rsidR="00674504" w:rsidRPr="00DE2E6E" w:rsidRDefault="00674504">
      <w:pPr>
        <w:shd w:val="clear" w:color="auto" w:fill="FFFFFF"/>
        <w:tabs>
          <w:tab w:val="left" w:pos="522"/>
          <w:tab w:val="left" w:pos="4678"/>
        </w:tabs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Половину таблетки можна повернути до блістера та використати протягом 24 годин.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>6.4 Природа і склад контейнера первинного пакування</w:t>
      </w:r>
    </w:p>
    <w:p w:rsidR="00674504" w:rsidRPr="00DE2E6E" w:rsidRDefault="00674504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sz w:val="24"/>
          <w:szCs w:val="24"/>
          <w:lang w:val="uk-UA"/>
        </w:rPr>
        <w:t>10 таблеток в блістері, 1 або 10 блістерів у картонній упаковці.</w:t>
      </w:r>
    </w:p>
    <w:p w:rsidR="00674504" w:rsidRPr="00DE2E6E" w:rsidRDefault="00674504">
      <w:pPr>
        <w:ind w:firstLine="567"/>
        <w:jc w:val="both"/>
        <w:rPr>
          <w:b/>
          <w:bCs/>
          <w:sz w:val="24"/>
          <w:szCs w:val="24"/>
        </w:rPr>
      </w:pPr>
      <w:r w:rsidRPr="00DE2E6E">
        <w:rPr>
          <w:b/>
          <w:bCs/>
          <w:sz w:val="24"/>
          <w:szCs w:val="24"/>
        </w:rPr>
        <w:t xml:space="preserve">6.5 Особливі заходи безпеки при поводженні з невикористаним препаратом або </w:t>
      </w:r>
      <w:r w:rsidRPr="00DE2E6E">
        <w:rPr>
          <w:b/>
          <w:bCs/>
          <w:sz w:val="24"/>
          <w:szCs w:val="24"/>
          <w:lang w:val="uk-UA"/>
        </w:rPr>
        <w:t xml:space="preserve">із </w:t>
      </w:r>
      <w:r w:rsidRPr="00DE2E6E">
        <w:rPr>
          <w:b/>
          <w:bCs/>
          <w:sz w:val="24"/>
          <w:szCs w:val="24"/>
        </w:rPr>
        <w:t>його залишками</w:t>
      </w:r>
    </w:p>
    <w:p w:rsidR="00674504" w:rsidRPr="00DE2E6E" w:rsidRDefault="00674504">
      <w:pPr>
        <w:ind w:firstLine="567"/>
        <w:jc w:val="both"/>
        <w:rPr>
          <w:sz w:val="24"/>
          <w:szCs w:val="24"/>
        </w:rPr>
      </w:pPr>
      <w:r w:rsidRPr="00DE2E6E">
        <w:rPr>
          <w:spacing w:val="-1"/>
          <w:sz w:val="24"/>
          <w:szCs w:val="24"/>
        </w:rPr>
        <w:t>Порожню упаковку та залишки невикористаного препарату потрібно утилізувати згідно з чинним законодавством.</w:t>
      </w:r>
    </w:p>
    <w:p w:rsidR="00674504" w:rsidRPr="00DE2E6E" w:rsidRDefault="00674504">
      <w:pPr>
        <w:pStyle w:val="31"/>
        <w:ind w:firstLine="567"/>
      </w:pPr>
      <w:r w:rsidRPr="00DE2E6E">
        <w:t>7. Назва та місцезнаходження власника реєстраційного посвідчення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4593"/>
        <w:gridCol w:w="5269"/>
      </w:tblGrid>
      <w:tr w:rsidR="00DE2E6E" w:rsidRPr="00DE2E6E">
        <w:tc>
          <w:tcPr>
            <w:tcW w:w="4593" w:type="dxa"/>
          </w:tcPr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>КРКА</w:t>
            </w:r>
            <w:r w:rsidRPr="00DE2E6E">
              <w:rPr>
                <w:sz w:val="24"/>
                <w:szCs w:val="24"/>
                <w:lang w:val="sl-SI"/>
              </w:rPr>
              <w:t xml:space="preserve">, </w:t>
            </w:r>
            <w:r w:rsidRPr="00DE2E6E">
              <w:rPr>
                <w:sz w:val="24"/>
                <w:szCs w:val="24"/>
              </w:rPr>
              <w:t>д.д., Ново место</w:t>
            </w:r>
            <w:r w:rsidRPr="00DE2E6E">
              <w:rPr>
                <w:sz w:val="24"/>
                <w:szCs w:val="24"/>
                <w:lang w:val="sl-SI"/>
              </w:rPr>
              <w:t xml:space="preserve">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>Шмар</w:t>
            </w:r>
            <w:r w:rsidRPr="00DE2E6E">
              <w:rPr>
                <w:sz w:val="24"/>
                <w:szCs w:val="24"/>
                <w:lang w:val="sl-SI"/>
              </w:rPr>
              <w:t>’</w:t>
            </w:r>
            <w:r w:rsidRPr="00DE2E6E">
              <w:rPr>
                <w:sz w:val="24"/>
                <w:szCs w:val="24"/>
                <w:lang w:val="uk-UA"/>
              </w:rPr>
              <w:t xml:space="preserve">єшка цеста 6,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 xml:space="preserve">8501 Ново место,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>Словенія</w:t>
            </w:r>
          </w:p>
        </w:tc>
        <w:tc>
          <w:tcPr>
            <w:tcW w:w="5269" w:type="dxa"/>
          </w:tcPr>
          <w:p w:rsidR="00674504" w:rsidRPr="00DE2E6E" w:rsidRDefault="00674504">
            <w:pPr>
              <w:pStyle w:val="ab"/>
              <w:spacing w:before="0" w:beforeAutospacing="0" w:after="0" w:afterAutospacing="0"/>
            </w:pPr>
            <w:r w:rsidRPr="00DE2E6E">
              <w:t xml:space="preserve">КRKA, d.d., Novo mesto, Slovenia 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es-ES"/>
              </w:rPr>
              <w:t xml:space="preserve">Šmarješka cesta 6,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es-ES"/>
              </w:rPr>
              <w:t xml:space="preserve">8501 Novo mesto,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es-ES"/>
              </w:rPr>
              <w:t>Slovenia</w:t>
            </w:r>
          </w:p>
        </w:tc>
      </w:tr>
    </w:tbl>
    <w:p w:rsidR="00674504" w:rsidRPr="00DE2E6E" w:rsidRDefault="00674504">
      <w:pPr>
        <w:ind w:firstLine="567"/>
        <w:jc w:val="right"/>
        <w:rPr>
          <w:sz w:val="24"/>
          <w:szCs w:val="24"/>
          <w:lang w:val="es-ES"/>
        </w:rPr>
      </w:pPr>
    </w:p>
    <w:p w:rsidR="00674504" w:rsidRPr="00DE2E6E" w:rsidRDefault="00674504">
      <w:pPr>
        <w:ind w:firstLine="567"/>
        <w:jc w:val="right"/>
        <w:rPr>
          <w:sz w:val="24"/>
          <w:szCs w:val="24"/>
        </w:rPr>
      </w:pPr>
      <w:r w:rsidRPr="00DE2E6E">
        <w:rPr>
          <w:sz w:val="24"/>
          <w:szCs w:val="24"/>
        </w:rPr>
        <w:t>Продовження додатку 1</w:t>
      </w:r>
    </w:p>
    <w:p w:rsidR="00674504" w:rsidRPr="00DE2E6E" w:rsidRDefault="00674504">
      <w:pPr>
        <w:ind w:left="4956"/>
        <w:jc w:val="right"/>
        <w:rPr>
          <w:sz w:val="24"/>
          <w:szCs w:val="24"/>
        </w:rPr>
      </w:pPr>
      <w:r w:rsidRPr="00DE2E6E">
        <w:rPr>
          <w:sz w:val="24"/>
          <w:szCs w:val="24"/>
        </w:rPr>
        <w:t xml:space="preserve">    до реєстраційного посвідчення А</w:t>
      </w:r>
      <w:r w:rsidRPr="00DE2E6E">
        <w:rPr>
          <w:sz w:val="24"/>
          <w:szCs w:val="24"/>
          <w:lang w:val="en-US"/>
        </w:rPr>
        <w:t>A</w:t>
      </w:r>
      <w:r w:rsidRPr="00DE2E6E">
        <w:rPr>
          <w:sz w:val="24"/>
          <w:szCs w:val="24"/>
        </w:rPr>
        <w:t>-01</w:t>
      </w:r>
      <w:r w:rsidRPr="00DE2E6E">
        <w:rPr>
          <w:sz w:val="24"/>
          <w:szCs w:val="24"/>
          <w:lang w:val="uk-UA"/>
        </w:rPr>
        <w:t>5</w:t>
      </w:r>
      <w:r w:rsidRPr="00DE2E6E">
        <w:rPr>
          <w:sz w:val="24"/>
          <w:szCs w:val="24"/>
        </w:rPr>
        <w:t>60-01-10</w:t>
      </w:r>
    </w:p>
    <w:p w:rsidR="00674504" w:rsidRPr="00DE2E6E" w:rsidRDefault="00674504">
      <w:pPr>
        <w:pStyle w:val="31"/>
        <w:ind w:firstLine="567"/>
        <w:jc w:val="right"/>
        <w:rPr>
          <w:b w:val="0"/>
          <w:bCs w:val="0"/>
          <w:lang w:val="ru-RU"/>
        </w:rPr>
      </w:pPr>
    </w:p>
    <w:p w:rsidR="00674504" w:rsidRPr="00DE2E6E" w:rsidRDefault="00674504">
      <w:pPr>
        <w:pStyle w:val="31"/>
        <w:ind w:firstLine="567"/>
        <w:jc w:val="right"/>
        <w:rPr>
          <w:b w:val="0"/>
          <w:bCs w:val="0"/>
          <w:lang w:val="ru-RU"/>
        </w:rPr>
      </w:pPr>
    </w:p>
    <w:p w:rsidR="00674504" w:rsidRPr="00DE2E6E" w:rsidRDefault="00674504">
      <w:pPr>
        <w:pStyle w:val="31"/>
        <w:ind w:firstLine="567"/>
      </w:pPr>
      <w:r w:rsidRPr="00DE2E6E">
        <w:t xml:space="preserve">8. Назва та місцезнаходження виробників готового продукту                  </w:t>
      </w: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4593"/>
        <w:gridCol w:w="5269"/>
      </w:tblGrid>
      <w:tr w:rsidR="00DE2E6E" w:rsidRPr="00DE2E6E">
        <w:tc>
          <w:tcPr>
            <w:tcW w:w="4593" w:type="dxa"/>
          </w:tcPr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>КРКА</w:t>
            </w:r>
            <w:r w:rsidRPr="00DE2E6E">
              <w:rPr>
                <w:sz w:val="24"/>
                <w:szCs w:val="24"/>
                <w:lang w:val="sl-SI"/>
              </w:rPr>
              <w:t xml:space="preserve">, </w:t>
            </w:r>
            <w:r w:rsidRPr="00DE2E6E">
              <w:rPr>
                <w:sz w:val="24"/>
                <w:szCs w:val="24"/>
              </w:rPr>
              <w:t>д.д., Ново место</w:t>
            </w:r>
            <w:r w:rsidRPr="00DE2E6E">
              <w:rPr>
                <w:sz w:val="24"/>
                <w:szCs w:val="24"/>
                <w:lang w:val="sl-SI"/>
              </w:rPr>
              <w:t xml:space="preserve">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>Шмар</w:t>
            </w:r>
            <w:r w:rsidRPr="00DE2E6E">
              <w:rPr>
                <w:sz w:val="24"/>
                <w:szCs w:val="24"/>
                <w:lang w:val="sl-SI"/>
              </w:rPr>
              <w:t>’</w:t>
            </w:r>
            <w:r w:rsidRPr="00DE2E6E">
              <w:rPr>
                <w:sz w:val="24"/>
                <w:szCs w:val="24"/>
                <w:lang w:val="uk-UA"/>
              </w:rPr>
              <w:t xml:space="preserve">єшка цеста 6,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 xml:space="preserve">8501 Ново место, </w:t>
            </w:r>
          </w:p>
          <w:p w:rsidR="00674504" w:rsidRPr="00DE2E6E" w:rsidRDefault="00674504">
            <w:pPr>
              <w:rPr>
                <w:sz w:val="24"/>
                <w:szCs w:val="24"/>
              </w:rPr>
            </w:pPr>
            <w:r w:rsidRPr="00DE2E6E">
              <w:rPr>
                <w:sz w:val="24"/>
                <w:szCs w:val="24"/>
                <w:lang w:val="uk-UA"/>
              </w:rPr>
              <w:t>Словенія</w:t>
            </w:r>
          </w:p>
          <w:p w:rsidR="00674504" w:rsidRPr="00DE2E6E" w:rsidRDefault="00674504">
            <w:pPr>
              <w:rPr>
                <w:sz w:val="24"/>
                <w:szCs w:val="24"/>
              </w:rPr>
            </w:pP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>КРКА-ФАРМА д.о.о.,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 xml:space="preserve">В. Холєвца 20/Е,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 xml:space="preserve">10450 Ястребарско, </w:t>
            </w:r>
          </w:p>
          <w:p w:rsidR="00674504" w:rsidRPr="00DE2E6E" w:rsidRDefault="00674504">
            <w:pPr>
              <w:rPr>
                <w:sz w:val="24"/>
                <w:szCs w:val="24"/>
              </w:rPr>
            </w:pPr>
            <w:r w:rsidRPr="00DE2E6E">
              <w:rPr>
                <w:sz w:val="24"/>
                <w:szCs w:val="24"/>
                <w:lang w:val="uk-UA"/>
              </w:rPr>
              <w:t>Хорватія</w:t>
            </w:r>
          </w:p>
        </w:tc>
        <w:tc>
          <w:tcPr>
            <w:tcW w:w="5269" w:type="dxa"/>
          </w:tcPr>
          <w:p w:rsidR="00674504" w:rsidRPr="00DE2E6E" w:rsidRDefault="00674504">
            <w:pPr>
              <w:pStyle w:val="ab"/>
              <w:spacing w:before="0" w:beforeAutospacing="0" w:after="0" w:afterAutospacing="0"/>
            </w:pPr>
            <w:r w:rsidRPr="00DE2E6E">
              <w:t xml:space="preserve">КRKA, d.d., Novo mesto, Slovenia 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>Š</w:t>
            </w:r>
            <w:r w:rsidRPr="00DE2E6E">
              <w:rPr>
                <w:sz w:val="24"/>
                <w:szCs w:val="24"/>
                <w:lang w:val="en-US"/>
              </w:rPr>
              <w:t>marje</w:t>
            </w:r>
            <w:r w:rsidRPr="00DE2E6E">
              <w:rPr>
                <w:sz w:val="24"/>
                <w:szCs w:val="24"/>
                <w:lang w:val="uk-UA"/>
              </w:rPr>
              <w:t>š</w:t>
            </w:r>
            <w:r w:rsidRPr="00DE2E6E">
              <w:rPr>
                <w:sz w:val="24"/>
                <w:szCs w:val="24"/>
                <w:lang w:val="en-US"/>
              </w:rPr>
              <w:t>ka</w:t>
            </w:r>
            <w:r w:rsidRPr="00DE2E6E">
              <w:rPr>
                <w:sz w:val="24"/>
                <w:szCs w:val="24"/>
                <w:lang w:val="uk-UA"/>
              </w:rPr>
              <w:t xml:space="preserve"> </w:t>
            </w:r>
            <w:r w:rsidRPr="00DE2E6E">
              <w:rPr>
                <w:sz w:val="24"/>
                <w:szCs w:val="24"/>
                <w:lang w:val="en-US"/>
              </w:rPr>
              <w:t>cesta</w:t>
            </w:r>
            <w:r w:rsidRPr="00DE2E6E">
              <w:rPr>
                <w:sz w:val="24"/>
                <w:szCs w:val="24"/>
                <w:lang w:val="uk-UA"/>
              </w:rPr>
              <w:t xml:space="preserve"> 6,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uk-UA"/>
              </w:rPr>
              <w:t xml:space="preserve">8501 </w:t>
            </w:r>
            <w:r w:rsidRPr="00DE2E6E">
              <w:rPr>
                <w:sz w:val="24"/>
                <w:szCs w:val="24"/>
                <w:lang w:val="en-US"/>
              </w:rPr>
              <w:t>Novo</w:t>
            </w:r>
            <w:r w:rsidRPr="00DE2E6E">
              <w:rPr>
                <w:sz w:val="24"/>
                <w:szCs w:val="24"/>
                <w:lang w:val="uk-UA"/>
              </w:rPr>
              <w:t xml:space="preserve"> </w:t>
            </w:r>
            <w:r w:rsidRPr="00DE2E6E">
              <w:rPr>
                <w:sz w:val="24"/>
                <w:szCs w:val="24"/>
                <w:lang w:val="en-US"/>
              </w:rPr>
              <w:t>mesto</w:t>
            </w:r>
            <w:r w:rsidRPr="00DE2E6E">
              <w:rPr>
                <w:sz w:val="24"/>
                <w:szCs w:val="24"/>
                <w:lang w:val="uk-UA"/>
              </w:rPr>
              <w:t xml:space="preserve">, 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en-US"/>
              </w:rPr>
              <w:t>Slovenia</w:t>
            </w: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</w:p>
          <w:p w:rsidR="00674504" w:rsidRPr="00DE2E6E" w:rsidRDefault="00674504">
            <w:pPr>
              <w:rPr>
                <w:sz w:val="24"/>
                <w:szCs w:val="24"/>
                <w:lang w:val="uk-UA"/>
              </w:rPr>
            </w:pPr>
            <w:r w:rsidRPr="00DE2E6E">
              <w:rPr>
                <w:sz w:val="24"/>
                <w:szCs w:val="24"/>
                <w:lang w:val="en-GB"/>
              </w:rPr>
              <w:t>KRKA</w:t>
            </w:r>
            <w:r w:rsidRPr="00DE2E6E">
              <w:rPr>
                <w:sz w:val="24"/>
                <w:szCs w:val="24"/>
                <w:lang w:val="uk-UA"/>
              </w:rPr>
              <w:t>-</w:t>
            </w:r>
            <w:r w:rsidRPr="00DE2E6E">
              <w:rPr>
                <w:sz w:val="24"/>
                <w:szCs w:val="24"/>
                <w:lang w:val="en-GB"/>
              </w:rPr>
              <w:t>FARMA</w:t>
            </w:r>
            <w:r w:rsidRPr="00DE2E6E">
              <w:rPr>
                <w:sz w:val="24"/>
                <w:szCs w:val="24"/>
                <w:lang w:val="uk-UA"/>
              </w:rPr>
              <w:t xml:space="preserve"> </w:t>
            </w:r>
            <w:r w:rsidRPr="00DE2E6E">
              <w:rPr>
                <w:sz w:val="24"/>
                <w:szCs w:val="24"/>
                <w:lang w:val="en-GB"/>
              </w:rPr>
              <w:t>d</w:t>
            </w:r>
            <w:r w:rsidRPr="00DE2E6E">
              <w:rPr>
                <w:sz w:val="24"/>
                <w:szCs w:val="24"/>
                <w:lang w:val="uk-UA"/>
              </w:rPr>
              <w:t>.</w:t>
            </w:r>
            <w:r w:rsidRPr="00DE2E6E">
              <w:rPr>
                <w:sz w:val="24"/>
                <w:szCs w:val="24"/>
                <w:lang w:val="en-GB"/>
              </w:rPr>
              <w:t>o</w:t>
            </w:r>
            <w:r w:rsidRPr="00DE2E6E">
              <w:rPr>
                <w:sz w:val="24"/>
                <w:szCs w:val="24"/>
                <w:lang w:val="uk-UA"/>
              </w:rPr>
              <w:t>.</w:t>
            </w:r>
            <w:r w:rsidRPr="00DE2E6E">
              <w:rPr>
                <w:sz w:val="24"/>
                <w:szCs w:val="24"/>
                <w:lang w:val="en-GB"/>
              </w:rPr>
              <w:t>o</w:t>
            </w:r>
            <w:r w:rsidRPr="00DE2E6E">
              <w:rPr>
                <w:sz w:val="24"/>
                <w:szCs w:val="24"/>
                <w:lang w:val="uk-UA"/>
              </w:rPr>
              <w:t>.,</w:t>
            </w:r>
          </w:p>
          <w:p w:rsidR="00674504" w:rsidRPr="00DE2E6E" w:rsidRDefault="00674504">
            <w:pPr>
              <w:rPr>
                <w:sz w:val="24"/>
                <w:szCs w:val="24"/>
                <w:lang w:val="en-GB"/>
              </w:rPr>
            </w:pPr>
            <w:r w:rsidRPr="00DE2E6E">
              <w:rPr>
                <w:sz w:val="24"/>
                <w:szCs w:val="24"/>
                <w:lang w:val="en-GB"/>
              </w:rPr>
              <w:t>V. Holjevca 20/E,</w:t>
            </w:r>
          </w:p>
          <w:p w:rsidR="00674504" w:rsidRPr="00DE2E6E" w:rsidRDefault="00674504">
            <w:pPr>
              <w:rPr>
                <w:sz w:val="24"/>
                <w:szCs w:val="24"/>
                <w:lang w:val="en-GB"/>
              </w:rPr>
            </w:pPr>
            <w:r w:rsidRPr="00DE2E6E">
              <w:rPr>
                <w:sz w:val="24"/>
                <w:szCs w:val="24"/>
                <w:lang w:val="en-GB"/>
              </w:rPr>
              <w:t>10450 Jastrebarsko,</w:t>
            </w:r>
          </w:p>
          <w:p w:rsidR="00674504" w:rsidRPr="00DE2E6E" w:rsidRDefault="00674504">
            <w:pPr>
              <w:rPr>
                <w:sz w:val="24"/>
                <w:szCs w:val="24"/>
                <w:lang w:val="en-US"/>
              </w:rPr>
            </w:pPr>
            <w:r w:rsidRPr="00DE2E6E">
              <w:rPr>
                <w:sz w:val="24"/>
                <w:szCs w:val="24"/>
                <w:lang w:val="en-GB"/>
              </w:rPr>
              <w:t>Croatia</w:t>
            </w:r>
          </w:p>
        </w:tc>
      </w:tr>
    </w:tbl>
    <w:p w:rsidR="00674504" w:rsidRPr="00DE2E6E" w:rsidRDefault="00674504">
      <w:pPr>
        <w:ind w:firstLine="567"/>
        <w:jc w:val="both"/>
        <w:rPr>
          <w:sz w:val="24"/>
          <w:szCs w:val="24"/>
          <w:lang w:val="uk-UA"/>
        </w:rPr>
      </w:pPr>
      <w:r w:rsidRPr="00DE2E6E">
        <w:rPr>
          <w:b/>
          <w:bCs/>
          <w:sz w:val="24"/>
          <w:szCs w:val="24"/>
          <w:lang w:val="uk-UA"/>
        </w:rPr>
        <w:t>9. Додаткова інформація</w:t>
      </w:r>
    </w:p>
    <w:p w:rsidR="00674504" w:rsidRPr="00DE2E6E" w:rsidRDefault="00674504"/>
    <w:sectPr w:rsidR="00674504" w:rsidRPr="00DE2E6E" w:rsidSect="00717D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53" w:right="454" w:bottom="454" w:left="1134" w:header="136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504" w:rsidRDefault="00674504">
      <w:r>
        <w:separator/>
      </w:r>
    </w:p>
  </w:endnote>
  <w:endnote w:type="continuationSeparator" w:id="0">
    <w:p w:rsidR="00674504" w:rsidRDefault="0067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504" w:rsidRDefault="0067450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504" w:rsidRDefault="00674504">
    <w:pPr>
      <w:pStyle w:val="a5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E2E6E">
      <w:rPr>
        <w:rStyle w:val="a9"/>
        <w:noProof/>
      </w:rPr>
      <w:t>1</w:t>
    </w:r>
    <w:r>
      <w:rPr>
        <w:rStyle w:val="a9"/>
      </w:rPr>
      <w:fldChar w:fldCharType="end"/>
    </w:r>
  </w:p>
  <w:p w:rsidR="00674504" w:rsidRDefault="0067450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504" w:rsidRDefault="006745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504" w:rsidRDefault="00674504">
      <w:r>
        <w:separator/>
      </w:r>
    </w:p>
  </w:footnote>
  <w:footnote w:type="continuationSeparator" w:id="0">
    <w:p w:rsidR="00674504" w:rsidRDefault="00674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504" w:rsidRDefault="006745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504" w:rsidRDefault="00674504">
    <w:pPr>
      <w:pStyle w:val="a3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504" w:rsidRDefault="006745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2C7"/>
    <w:multiLevelType w:val="singleLevel"/>
    <w:tmpl w:val="1F3C8AB4"/>
    <w:lvl w:ilvl="0">
      <w:start w:val="3"/>
      <w:numFmt w:val="decimal"/>
      <w:lvlText w:val="4.%1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7762C6"/>
    <w:multiLevelType w:val="multilevel"/>
    <w:tmpl w:val="339A2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CB226C"/>
    <w:multiLevelType w:val="multilevel"/>
    <w:tmpl w:val="8ECA45CC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3" w15:restartNumberingAfterBreak="0">
    <w:nsid w:val="122A02A8"/>
    <w:multiLevelType w:val="multilevel"/>
    <w:tmpl w:val="306025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1FB344A4"/>
    <w:multiLevelType w:val="multilevel"/>
    <w:tmpl w:val="00DC40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28E1D3D"/>
    <w:multiLevelType w:val="singleLevel"/>
    <w:tmpl w:val="88CEB0F6"/>
    <w:lvl w:ilvl="0">
      <w:start w:val="2"/>
      <w:numFmt w:val="decimal"/>
      <w:lvlText w:val="6.%1"/>
      <w:legacy w:legacy="1" w:legacySpace="0" w:legacyIndent="522"/>
      <w:lvlJc w:val="left"/>
      <w:rPr>
        <w:rFonts w:ascii="Times New Roman" w:hAnsi="Times New Roman" w:cs="Times New Roman" w:hint="default"/>
        <w:b/>
        <w:bCs/>
      </w:rPr>
    </w:lvl>
  </w:abstractNum>
  <w:abstractNum w:abstractNumId="6" w15:restartNumberingAfterBreak="0">
    <w:nsid w:val="603761BB"/>
    <w:multiLevelType w:val="multilevel"/>
    <w:tmpl w:val="101A2140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73"/>
        </w:tabs>
        <w:ind w:left="473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33"/>
        </w:tabs>
        <w:ind w:left="833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33"/>
        </w:tabs>
        <w:ind w:left="83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33"/>
        </w:tabs>
        <w:ind w:left="833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93"/>
        </w:tabs>
        <w:ind w:left="119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93"/>
        </w:tabs>
        <w:ind w:left="1193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53"/>
        </w:tabs>
        <w:ind w:left="15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53"/>
        </w:tabs>
        <w:ind w:left="1553" w:hanging="1440"/>
      </w:pPr>
      <w:rPr>
        <w:rFonts w:cs="Times New Roman" w:hint="default"/>
      </w:rPr>
    </w:lvl>
  </w:abstractNum>
  <w:abstractNum w:abstractNumId="7" w15:restartNumberingAfterBreak="0">
    <w:nsid w:val="706656FD"/>
    <w:multiLevelType w:val="singleLevel"/>
    <w:tmpl w:val="C974F1CA"/>
    <w:lvl w:ilvl="0">
      <w:start w:val="8"/>
      <w:numFmt w:val="decimal"/>
      <w:lvlText w:val="4.%1"/>
      <w:legacy w:legacy="1" w:legacySpace="0" w:legacyIndent="51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47452E0"/>
    <w:multiLevelType w:val="multilevel"/>
    <w:tmpl w:val="339A24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165"/>
    <w:rsid w:val="000E1019"/>
    <w:rsid w:val="0028137B"/>
    <w:rsid w:val="003066AF"/>
    <w:rsid w:val="003100DE"/>
    <w:rsid w:val="00426B38"/>
    <w:rsid w:val="004A6455"/>
    <w:rsid w:val="00611E92"/>
    <w:rsid w:val="00674504"/>
    <w:rsid w:val="006F5E34"/>
    <w:rsid w:val="00717D74"/>
    <w:rsid w:val="007B0877"/>
    <w:rsid w:val="007B4EE3"/>
    <w:rsid w:val="0080029C"/>
    <w:rsid w:val="008649EF"/>
    <w:rsid w:val="00926CA2"/>
    <w:rsid w:val="00973165"/>
    <w:rsid w:val="00CE70B8"/>
    <w:rsid w:val="00DE2E6E"/>
    <w:rsid w:val="00EE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3EBE5E5B-8283-4353-85BC-4E8E9748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pPr>
      <w:widowControl/>
      <w:autoSpaceDE/>
      <w:autoSpaceDN/>
      <w:adjustRightInd/>
      <w:ind w:left="34"/>
    </w:pPr>
    <w:rPr>
      <w:rFonts w:ascii="Arial" w:hAnsi="Arial" w:cs="Arial"/>
      <w:lang w:val="uk-U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90450"/>
    <w:rPr>
      <w:sz w:val="20"/>
      <w:szCs w:val="20"/>
      <w:lang w:val="ru-RU" w:eastAsia="ru-RU"/>
    </w:rPr>
  </w:style>
  <w:style w:type="paragraph" w:styleId="3">
    <w:name w:val="Body Text Indent 3"/>
    <w:basedOn w:val="a"/>
    <w:link w:val="30"/>
    <w:uiPriority w:val="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90450"/>
    <w:rPr>
      <w:sz w:val="16"/>
      <w:szCs w:val="16"/>
      <w:lang w:val="ru-RU" w:eastAsia="ru-RU"/>
    </w:rPr>
  </w:style>
  <w:style w:type="paragraph" w:styleId="a3">
    <w:name w:val="header"/>
    <w:basedOn w:val="a"/>
    <w:link w:val="a4"/>
    <w:uiPriority w:val="9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0450"/>
    <w:rPr>
      <w:sz w:val="20"/>
      <w:szCs w:val="20"/>
      <w:lang w:val="ru-RU" w:eastAsia="ru-RU"/>
    </w:rPr>
  </w:style>
  <w:style w:type="paragraph" w:styleId="a5">
    <w:name w:val="footer"/>
    <w:basedOn w:val="a"/>
    <w:link w:val="a6"/>
    <w:uiPriority w:val="99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90450"/>
    <w:rPr>
      <w:sz w:val="20"/>
      <w:szCs w:val="20"/>
      <w:lang w:val="ru-RU" w:eastAsia="ru-RU"/>
    </w:rPr>
  </w:style>
  <w:style w:type="paragraph" w:styleId="21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90450"/>
    <w:rPr>
      <w:sz w:val="20"/>
      <w:szCs w:val="20"/>
      <w:lang w:val="ru-RU" w:eastAsia="ru-RU"/>
    </w:rPr>
  </w:style>
  <w:style w:type="paragraph" w:styleId="a7">
    <w:name w:val="Title"/>
    <w:basedOn w:val="a"/>
    <w:link w:val="a8"/>
    <w:uiPriority w:val="99"/>
    <w:qFormat/>
    <w:pPr>
      <w:widowControl/>
      <w:autoSpaceDE/>
      <w:autoSpaceDN/>
      <w:adjustRightInd/>
      <w:jc w:val="center"/>
    </w:pPr>
    <w:rPr>
      <w:b/>
      <w:bCs/>
      <w:caps/>
      <w:sz w:val="24"/>
      <w:szCs w:val="24"/>
      <w:u w:val="single"/>
      <w:lang w:val="uk-UA" w:eastAsia="en-US"/>
    </w:rPr>
  </w:style>
  <w:style w:type="character" w:customStyle="1" w:styleId="a8">
    <w:name w:val="Название Знак"/>
    <w:basedOn w:val="a0"/>
    <w:link w:val="a7"/>
    <w:uiPriority w:val="10"/>
    <w:rsid w:val="00790450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customStyle="1" w:styleId="31">
    <w:name w:val="Основной текст с отступом 31"/>
    <w:basedOn w:val="a"/>
    <w:uiPriority w:val="99"/>
    <w:pPr>
      <w:suppressAutoHyphens/>
      <w:autoSpaceDE/>
      <w:autoSpaceDN/>
      <w:adjustRightInd/>
      <w:ind w:firstLine="720"/>
      <w:jc w:val="both"/>
    </w:pPr>
    <w:rPr>
      <w:b/>
      <w:bCs/>
      <w:sz w:val="24"/>
      <w:szCs w:val="24"/>
      <w:lang w:val="uk-UA" w:eastAsia="ar-SA"/>
    </w:rPr>
  </w:style>
  <w:style w:type="character" w:styleId="a9">
    <w:name w:val="page number"/>
    <w:basedOn w:val="a0"/>
    <w:uiPriority w:val="99"/>
    <w:rPr>
      <w:rFonts w:cs="Times New Roman"/>
    </w:rPr>
  </w:style>
  <w:style w:type="table" w:styleId="aa">
    <w:name w:val="Table Grid"/>
    <w:basedOn w:val="a1"/>
    <w:uiPriority w:val="99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Standard">
    <w:name w:val="Standard"/>
    <w:uiPriority w:val="99"/>
    <w:pPr>
      <w:suppressAutoHyphens/>
    </w:pPr>
    <w:rPr>
      <w:rFonts w:ascii="Arial" w:hAnsi="Arial" w:cs="Arial"/>
      <w:sz w:val="24"/>
      <w:szCs w:val="24"/>
      <w:lang w:val="ru-RU" w:eastAsia="ar-SA"/>
    </w:rPr>
  </w:style>
  <w:style w:type="paragraph" w:styleId="ac">
    <w:name w:val="Body Text Indent"/>
    <w:basedOn w:val="a"/>
    <w:link w:val="ad"/>
    <w:uiPriority w:val="9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90450"/>
    <w:rPr>
      <w:sz w:val="20"/>
      <w:szCs w:val="20"/>
      <w:lang w:val="ru-RU" w:eastAsia="ru-RU"/>
    </w:rPr>
  </w:style>
  <w:style w:type="paragraph" w:styleId="ae">
    <w:name w:val="Body Text"/>
    <w:basedOn w:val="a"/>
    <w:link w:val="af"/>
    <w:uiPriority w:val="9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790450"/>
    <w:rPr>
      <w:sz w:val="20"/>
      <w:szCs w:val="20"/>
      <w:lang w:val="ru-RU" w:eastAsia="ru-RU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90450"/>
    <w:rPr>
      <w:sz w:val="0"/>
      <w:szCs w:val="0"/>
      <w:lang w:val="ru-RU" w:eastAsia="ru-RU"/>
    </w:rPr>
  </w:style>
  <w:style w:type="paragraph" w:customStyle="1" w:styleId="af2">
    <w:name w:val="Стиль"/>
    <w:basedOn w:val="a"/>
    <w:uiPriority w:val="9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styleId="af3">
    <w:name w:val="annotation reference"/>
    <w:basedOn w:val="a0"/>
    <w:uiPriority w:val="99"/>
    <w:rsid w:val="00926CA2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926CA2"/>
  </w:style>
  <w:style w:type="character" w:customStyle="1" w:styleId="af5">
    <w:name w:val="Текст примечания Знак"/>
    <w:basedOn w:val="a0"/>
    <w:link w:val="af4"/>
    <w:uiPriority w:val="99"/>
    <w:locked/>
    <w:rsid w:val="00926CA2"/>
    <w:rPr>
      <w:lang w:val="ru-RU" w:eastAsia="ru-RU"/>
    </w:rPr>
  </w:style>
  <w:style w:type="paragraph" w:styleId="af6">
    <w:name w:val="annotation subject"/>
    <w:basedOn w:val="af4"/>
    <w:next w:val="af4"/>
    <w:link w:val="af7"/>
    <w:uiPriority w:val="99"/>
    <w:rsid w:val="00926CA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926CA2"/>
    <w:rPr>
      <w:b/>
      <w:lang w:val="ru-RU" w:eastAsia="ru-RU"/>
    </w:rPr>
  </w:style>
  <w:style w:type="paragraph" w:styleId="af8">
    <w:name w:val="No Spacing"/>
    <w:uiPriority w:val="99"/>
    <w:qFormat/>
    <w:rsid w:val="00EE712C"/>
    <w:pPr>
      <w:widowControl w:val="0"/>
      <w:autoSpaceDE w:val="0"/>
      <w:autoSpaceDN w:val="0"/>
      <w:adjustRightInd w:val="0"/>
    </w:pPr>
    <w:rPr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1109</Words>
  <Characters>6326</Characters>
  <Application>Microsoft Office Word</Application>
  <DocSecurity>0</DocSecurity>
  <Lines>52</Lines>
  <Paragraphs>14</Paragraphs>
  <ScaleCrop>false</ScaleCrop>
  <Company>HOME</Company>
  <LinksUpToDate>false</LinksUpToDate>
  <CharactersWithSpaces>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POSLEDNEE</dc:creator>
  <cp:keywords/>
  <dc:description/>
  <cp:lastModifiedBy>Vasyl</cp:lastModifiedBy>
  <cp:revision>10</cp:revision>
  <cp:lastPrinted>2010-10-28T12:53:00Z</cp:lastPrinted>
  <dcterms:created xsi:type="dcterms:W3CDTF">2024-11-17T08:04:00Z</dcterms:created>
  <dcterms:modified xsi:type="dcterms:W3CDTF">2026-02-20T14:10:00Z</dcterms:modified>
</cp:coreProperties>
</file>